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D46D1" w14:textId="5D4CA703" w:rsidR="005C6D60" w:rsidRPr="00A8316E" w:rsidRDefault="005C6D60" w:rsidP="00A8316E">
      <w:pPr>
        <w:jc w:val="center"/>
        <w:rPr>
          <w:rFonts w:asciiTheme="majorHAnsi" w:hAnsiTheme="majorHAnsi" w:cstheme="majorHAnsi"/>
          <w:b/>
          <w:bCs/>
          <w:sz w:val="36"/>
          <w:szCs w:val="36"/>
          <w:u w:val="single"/>
        </w:rPr>
      </w:pPr>
      <w:r w:rsidRPr="00A8316E">
        <w:rPr>
          <w:rFonts w:asciiTheme="majorHAnsi" w:hAnsiTheme="majorHAnsi" w:cstheme="majorHAnsi"/>
          <w:b/>
          <w:bCs/>
          <w:sz w:val="36"/>
          <w:szCs w:val="36"/>
          <w:u w:val="single"/>
        </w:rPr>
        <w:t xml:space="preserve">Panaxia Global Reports Record Revenues </w:t>
      </w:r>
      <w:r w:rsidR="00A8316E" w:rsidRPr="00A8316E">
        <w:rPr>
          <w:rFonts w:asciiTheme="majorHAnsi" w:hAnsiTheme="majorHAnsi" w:cstheme="majorHAnsi"/>
          <w:b/>
          <w:bCs/>
          <w:sz w:val="36"/>
          <w:szCs w:val="36"/>
          <w:u w:val="single"/>
        </w:rPr>
        <w:t>of</w:t>
      </w:r>
      <w:r w:rsidRPr="00A8316E">
        <w:rPr>
          <w:rFonts w:asciiTheme="majorHAnsi" w:hAnsiTheme="majorHAnsi" w:cstheme="majorHAnsi"/>
          <w:b/>
          <w:bCs/>
          <w:sz w:val="36"/>
          <w:szCs w:val="36"/>
          <w:u w:val="single"/>
        </w:rPr>
        <w:t xml:space="preserve"> its Israeli </w:t>
      </w:r>
      <w:r w:rsidR="00A8316E" w:rsidRPr="00A8316E">
        <w:rPr>
          <w:rFonts w:asciiTheme="majorHAnsi" w:hAnsiTheme="majorHAnsi" w:cstheme="majorHAnsi"/>
          <w:b/>
          <w:bCs/>
          <w:sz w:val="36"/>
          <w:szCs w:val="36"/>
          <w:u w:val="single"/>
        </w:rPr>
        <w:t>operations:</w:t>
      </w:r>
    </w:p>
    <w:p w14:paraId="52A8A41D" w14:textId="797D1BF0" w:rsidR="00A8316E" w:rsidRPr="00A8316E" w:rsidRDefault="00A8316E" w:rsidP="00A8316E">
      <w:pPr>
        <w:jc w:val="center"/>
        <w:rPr>
          <w:rFonts w:asciiTheme="majorHAnsi" w:hAnsiTheme="majorHAnsi" w:cstheme="majorHAnsi"/>
          <w:b/>
          <w:bCs/>
          <w:sz w:val="32"/>
          <w:szCs w:val="32"/>
          <w:u w:val="single"/>
        </w:rPr>
      </w:pPr>
      <w:r w:rsidRPr="00A8316E">
        <w:rPr>
          <w:rFonts w:asciiTheme="majorHAnsi" w:hAnsiTheme="majorHAnsi" w:cstheme="majorHAnsi"/>
          <w:b/>
          <w:bCs/>
          <w:sz w:val="32"/>
          <w:szCs w:val="32"/>
          <w:u w:val="single"/>
        </w:rPr>
        <w:t>The preliminary outlook projects at least 14 million in Q2</w:t>
      </w:r>
      <w:r w:rsidR="00E35B32">
        <w:rPr>
          <w:rFonts w:asciiTheme="majorHAnsi" w:hAnsiTheme="majorHAnsi" w:cstheme="majorHAnsi"/>
          <w:b/>
          <w:bCs/>
          <w:sz w:val="32"/>
          <w:szCs w:val="32"/>
          <w:u w:val="single"/>
        </w:rPr>
        <w:t xml:space="preserve"> 2020</w:t>
      </w:r>
      <w:r>
        <w:rPr>
          <w:rFonts w:asciiTheme="majorHAnsi" w:hAnsiTheme="majorHAnsi" w:cstheme="majorHAnsi"/>
          <w:b/>
          <w:bCs/>
          <w:sz w:val="32"/>
          <w:szCs w:val="32"/>
          <w:u w:val="single"/>
        </w:rPr>
        <w:t>.</w:t>
      </w:r>
    </w:p>
    <w:p w14:paraId="4FA26612" w14:textId="25781405" w:rsidR="00A8316E" w:rsidRPr="00A8316E" w:rsidRDefault="00A8316E" w:rsidP="00A8316E">
      <w:pPr>
        <w:jc w:val="center"/>
        <w:rPr>
          <w:rFonts w:asciiTheme="majorHAnsi" w:hAnsiTheme="majorHAnsi" w:cstheme="majorHAnsi"/>
          <w:b/>
          <w:bCs/>
          <w:sz w:val="32"/>
          <w:szCs w:val="32"/>
          <w:u w:val="single"/>
          <w:rtl/>
        </w:rPr>
      </w:pPr>
      <w:r w:rsidRPr="00A8316E">
        <w:rPr>
          <w:rFonts w:asciiTheme="majorHAnsi" w:hAnsiTheme="majorHAnsi" w:cstheme="majorHAnsi"/>
          <w:b/>
          <w:bCs/>
          <w:sz w:val="32"/>
          <w:szCs w:val="32"/>
          <w:u w:val="single"/>
        </w:rPr>
        <w:t>Completes 11 consecutive quarters of growing revenues</w:t>
      </w:r>
    </w:p>
    <w:p w14:paraId="4ECC5700" w14:textId="77777777" w:rsidR="005C6D60" w:rsidRPr="00A8316E" w:rsidRDefault="005C6D60" w:rsidP="00A8316E">
      <w:pPr>
        <w:bidi/>
        <w:jc w:val="center"/>
        <w:rPr>
          <w:rFonts w:asciiTheme="majorHAnsi" w:hAnsiTheme="majorHAnsi" w:cstheme="majorHAnsi"/>
          <w:b/>
          <w:bCs/>
          <w:sz w:val="16"/>
          <w:szCs w:val="16"/>
          <w:u w:val="single"/>
          <w:rtl/>
        </w:rPr>
      </w:pPr>
    </w:p>
    <w:p w14:paraId="6EE72995" w14:textId="4B97E6C5" w:rsidR="00A8316E" w:rsidRPr="00A8316E" w:rsidRDefault="00A8316E" w:rsidP="00DC243A">
      <w:pPr>
        <w:jc w:val="center"/>
        <w:rPr>
          <w:rFonts w:asciiTheme="majorHAnsi" w:hAnsiTheme="majorHAnsi" w:cstheme="majorHAnsi"/>
          <w:b/>
          <w:bCs/>
          <w:sz w:val="28"/>
          <w:szCs w:val="28"/>
          <w:u w:val="single"/>
        </w:rPr>
      </w:pPr>
      <w:r w:rsidRPr="00A8316E">
        <w:rPr>
          <w:rFonts w:asciiTheme="majorHAnsi" w:hAnsiTheme="majorHAnsi" w:cstheme="majorHAnsi"/>
          <w:b/>
          <w:bCs/>
          <w:sz w:val="28"/>
          <w:szCs w:val="28"/>
          <w:u w:val="single"/>
        </w:rPr>
        <w:t>Pr</w:t>
      </w:r>
      <w:r>
        <w:rPr>
          <w:rFonts w:asciiTheme="majorHAnsi" w:hAnsiTheme="majorHAnsi" w:cstheme="majorHAnsi"/>
          <w:b/>
          <w:bCs/>
          <w:sz w:val="28"/>
          <w:szCs w:val="28"/>
          <w:u w:val="single"/>
        </w:rPr>
        <w:t>edicts</w:t>
      </w:r>
      <w:r w:rsidRPr="00A8316E">
        <w:rPr>
          <w:rFonts w:asciiTheme="majorHAnsi" w:hAnsiTheme="majorHAnsi" w:cstheme="majorHAnsi"/>
          <w:b/>
          <w:bCs/>
          <w:sz w:val="28"/>
          <w:szCs w:val="28"/>
          <w:u w:val="single"/>
        </w:rPr>
        <w:t xml:space="preserve"> revenues will increase by more than </w:t>
      </w:r>
      <w:r w:rsidR="00DC243A" w:rsidRPr="00A8316E">
        <w:rPr>
          <w:rFonts w:asciiTheme="majorHAnsi" w:hAnsiTheme="majorHAnsi" w:cstheme="majorHAnsi"/>
          <w:b/>
          <w:bCs/>
          <w:sz w:val="28"/>
          <w:szCs w:val="28"/>
          <w:u w:val="single"/>
        </w:rPr>
        <w:t>350% over the same quarter of last year</w:t>
      </w:r>
      <w:r w:rsidR="00DC243A">
        <w:rPr>
          <w:rFonts w:asciiTheme="majorHAnsi" w:hAnsiTheme="majorHAnsi" w:cstheme="majorHAnsi"/>
          <w:b/>
          <w:bCs/>
          <w:sz w:val="28"/>
          <w:szCs w:val="28"/>
          <w:u w:val="single"/>
        </w:rPr>
        <w:t xml:space="preserve"> and by </w:t>
      </w:r>
      <w:r w:rsidRPr="00A8316E">
        <w:rPr>
          <w:rFonts w:asciiTheme="majorHAnsi" w:hAnsiTheme="majorHAnsi" w:cstheme="majorHAnsi"/>
          <w:b/>
          <w:bCs/>
          <w:sz w:val="28"/>
          <w:szCs w:val="28"/>
          <w:u w:val="single"/>
        </w:rPr>
        <w:t xml:space="preserve">15% over Q120 </w:t>
      </w:r>
    </w:p>
    <w:p w14:paraId="7E5F63BE" w14:textId="4ABCC439" w:rsidR="005C6D60" w:rsidRPr="00A8316E" w:rsidRDefault="005C6D60" w:rsidP="00A8316E">
      <w:pPr>
        <w:bidi/>
        <w:jc w:val="center"/>
        <w:rPr>
          <w:rFonts w:asciiTheme="majorHAnsi" w:hAnsiTheme="majorHAnsi" w:cstheme="majorHAnsi"/>
          <w:b/>
          <w:bCs/>
          <w:sz w:val="16"/>
          <w:szCs w:val="16"/>
          <w:u w:val="single"/>
        </w:rPr>
      </w:pPr>
    </w:p>
    <w:p w14:paraId="46C0A416" w14:textId="77777777" w:rsidR="00A8316E" w:rsidRPr="00A8316E" w:rsidRDefault="00A8316E" w:rsidP="00A8316E">
      <w:pPr>
        <w:bidi/>
        <w:jc w:val="center"/>
        <w:rPr>
          <w:rFonts w:asciiTheme="majorHAnsi" w:hAnsiTheme="majorHAnsi" w:cstheme="majorHAnsi"/>
          <w:b/>
          <w:bCs/>
          <w:sz w:val="16"/>
          <w:szCs w:val="16"/>
          <w:u w:val="single"/>
          <w:rtl/>
        </w:rPr>
      </w:pPr>
    </w:p>
    <w:p w14:paraId="767B61F4" w14:textId="435B4423" w:rsidR="00A8316E" w:rsidRPr="00A8316E" w:rsidRDefault="00A8316E" w:rsidP="00A8316E">
      <w:pPr>
        <w:jc w:val="center"/>
        <w:rPr>
          <w:rFonts w:asciiTheme="majorHAnsi" w:hAnsiTheme="majorHAnsi" w:cstheme="majorHAnsi"/>
          <w:b/>
          <w:bCs/>
          <w:sz w:val="28"/>
          <w:szCs w:val="28"/>
          <w:u w:val="single"/>
        </w:rPr>
      </w:pPr>
      <w:r w:rsidRPr="00A8316E">
        <w:rPr>
          <w:rFonts w:asciiTheme="majorHAnsi" w:hAnsiTheme="majorHAnsi" w:cstheme="majorHAnsi"/>
          <w:b/>
          <w:bCs/>
          <w:sz w:val="28"/>
          <w:szCs w:val="28"/>
          <w:u w:val="single"/>
        </w:rPr>
        <w:t xml:space="preserve">Reports </w:t>
      </w:r>
      <w:r>
        <w:rPr>
          <w:rFonts w:asciiTheme="majorHAnsi" w:hAnsiTheme="majorHAnsi" w:cstheme="majorHAnsi"/>
          <w:b/>
          <w:bCs/>
          <w:sz w:val="28"/>
          <w:szCs w:val="28"/>
          <w:u w:val="single"/>
        </w:rPr>
        <w:t>the receipt of</w:t>
      </w:r>
      <w:r w:rsidRPr="00A8316E">
        <w:rPr>
          <w:rFonts w:asciiTheme="majorHAnsi" w:hAnsiTheme="majorHAnsi" w:cstheme="majorHAnsi"/>
          <w:b/>
          <w:bCs/>
          <w:sz w:val="28"/>
          <w:szCs w:val="28"/>
          <w:u w:val="single"/>
        </w:rPr>
        <w:t xml:space="preserve"> EU-GMP standard certification required for commercial production and exports of medical cannabis and its products to Europe.</w:t>
      </w:r>
    </w:p>
    <w:p w14:paraId="2C827326" w14:textId="4FA5AC2A" w:rsidR="005C6D60" w:rsidRPr="00A8316E" w:rsidRDefault="00A8316E" w:rsidP="00A8316E">
      <w:pPr>
        <w:jc w:val="center"/>
        <w:rPr>
          <w:rFonts w:asciiTheme="majorHAnsi" w:hAnsiTheme="majorHAnsi" w:cstheme="majorHAnsi"/>
          <w:b/>
          <w:bCs/>
          <w:sz w:val="28"/>
          <w:szCs w:val="28"/>
          <w:u w:val="single"/>
          <w:rtl/>
        </w:rPr>
      </w:pPr>
      <w:r w:rsidRPr="00A8316E">
        <w:rPr>
          <w:rFonts w:asciiTheme="majorHAnsi" w:hAnsiTheme="majorHAnsi" w:cstheme="majorHAnsi"/>
          <w:b/>
          <w:bCs/>
          <w:sz w:val="28"/>
          <w:szCs w:val="28"/>
          <w:u w:val="single"/>
        </w:rPr>
        <w:t>Expects to start sales in Germany and Denma</w:t>
      </w:r>
      <w:r>
        <w:rPr>
          <w:rFonts w:asciiTheme="majorHAnsi" w:hAnsiTheme="majorHAnsi" w:cstheme="majorHAnsi"/>
          <w:b/>
          <w:bCs/>
          <w:sz w:val="28"/>
          <w:szCs w:val="28"/>
          <w:u w:val="single"/>
        </w:rPr>
        <w:t>rk</w:t>
      </w:r>
      <w:r w:rsidRPr="00A8316E">
        <w:rPr>
          <w:rFonts w:asciiTheme="majorHAnsi" w:hAnsiTheme="majorHAnsi" w:cstheme="majorHAnsi"/>
          <w:b/>
          <w:bCs/>
          <w:sz w:val="28"/>
          <w:szCs w:val="28"/>
          <w:u w:val="single"/>
        </w:rPr>
        <w:t xml:space="preserve"> in H2</w:t>
      </w:r>
      <w:r w:rsidR="00E35B32">
        <w:rPr>
          <w:rFonts w:asciiTheme="majorHAnsi" w:hAnsiTheme="majorHAnsi" w:cstheme="majorHAnsi"/>
          <w:b/>
          <w:bCs/>
          <w:sz w:val="28"/>
          <w:szCs w:val="28"/>
          <w:u w:val="single"/>
        </w:rPr>
        <w:t xml:space="preserve"> 2020</w:t>
      </w:r>
    </w:p>
    <w:p w14:paraId="23884DDA" w14:textId="77777777" w:rsidR="005C6D60" w:rsidRPr="00A8316E" w:rsidRDefault="005C6D60" w:rsidP="00A8316E">
      <w:pPr>
        <w:bidi/>
        <w:jc w:val="center"/>
        <w:rPr>
          <w:rFonts w:asciiTheme="majorHAnsi" w:hAnsiTheme="majorHAnsi" w:cstheme="majorHAnsi"/>
          <w:b/>
          <w:bCs/>
          <w:sz w:val="16"/>
          <w:szCs w:val="16"/>
          <w:u w:val="single"/>
          <w:rtl/>
        </w:rPr>
      </w:pPr>
    </w:p>
    <w:p w14:paraId="7D160EBB" w14:textId="07C4FE7B" w:rsidR="00A8316E" w:rsidRPr="00A8316E" w:rsidRDefault="00A8316E" w:rsidP="00554E36">
      <w:pPr>
        <w:pStyle w:val="1"/>
        <w:numPr>
          <w:ilvl w:val="0"/>
          <w:numId w:val="0"/>
        </w:numPr>
        <w:bidi w:val="0"/>
        <w:spacing w:line="240" w:lineRule="auto"/>
        <w:ind w:right="0"/>
        <w:rPr>
          <w:rFonts w:asciiTheme="majorHAnsi" w:hAnsiTheme="majorHAnsi" w:cstheme="majorHAnsi"/>
        </w:rPr>
      </w:pPr>
      <w:r w:rsidRPr="00A8316E">
        <w:rPr>
          <w:rFonts w:asciiTheme="majorHAnsi" w:hAnsiTheme="majorHAnsi" w:cstheme="majorHAnsi"/>
          <w:b/>
          <w:bCs/>
        </w:rPr>
        <w:t>Tel Aviv,</w:t>
      </w:r>
      <w:r>
        <w:rPr>
          <w:rFonts w:asciiTheme="majorHAnsi" w:hAnsiTheme="majorHAnsi" w:cstheme="majorHAnsi"/>
          <w:b/>
          <w:bCs/>
        </w:rPr>
        <w:t xml:space="preserve"> 8 July</w:t>
      </w:r>
      <w:r w:rsidRPr="00A8316E">
        <w:rPr>
          <w:rFonts w:asciiTheme="majorHAnsi" w:hAnsiTheme="majorHAnsi" w:cstheme="majorHAnsi"/>
          <w:b/>
          <w:bCs/>
        </w:rPr>
        <w:t xml:space="preserve"> 2020 - </w:t>
      </w:r>
      <w:r w:rsidR="00543A69">
        <w:rPr>
          <w:rFonts w:ascii="Calibri Light" w:hAnsi="Calibri Light" w:cs="Calibri Light"/>
        </w:rPr>
        <w:t>The Israeli subsidiary</w:t>
      </w:r>
      <w:r w:rsidR="00E35B32">
        <w:rPr>
          <w:rFonts w:ascii="Calibri Light" w:hAnsi="Calibri Light" w:cs="Calibri Light"/>
        </w:rPr>
        <w:t xml:space="preserve"> of Panaxia Global</w:t>
      </w:r>
      <w:r w:rsidR="00543A69">
        <w:rPr>
          <w:rFonts w:ascii="Calibri Light" w:hAnsi="Calibri Light" w:cs="Calibri Light"/>
        </w:rPr>
        <w:t xml:space="preserve">, </w:t>
      </w:r>
      <w:r w:rsidR="00E35B32" w:rsidRPr="00A8316E">
        <w:rPr>
          <w:rFonts w:asciiTheme="majorHAnsi" w:hAnsiTheme="majorHAnsi" w:cstheme="majorHAnsi"/>
          <w:b/>
          <w:bCs/>
        </w:rPr>
        <w:t xml:space="preserve">Panaxia </w:t>
      </w:r>
      <w:r w:rsidRPr="00A8316E">
        <w:rPr>
          <w:rFonts w:asciiTheme="majorHAnsi" w:hAnsiTheme="majorHAnsi" w:cstheme="majorHAnsi"/>
          <w:b/>
          <w:bCs/>
        </w:rPr>
        <w:t>Labs Israel Ltd. (Panaxia Israel, TASE: PNAX)</w:t>
      </w:r>
      <w:r w:rsidRPr="00A8316E">
        <w:rPr>
          <w:rFonts w:asciiTheme="majorHAnsi" w:hAnsiTheme="majorHAnsi" w:cstheme="majorHAnsi"/>
        </w:rPr>
        <w:t>,</w:t>
      </w:r>
      <w:r w:rsidRPr="00A8316E">
        <w:rPr>
          <w:rFonts w:asciiTheme="majorHAnsi" w:hAnsiTheme="majorHAnsi" w:cstheme="majorHAnsi"/>
          <w:color w:val="0E101A"/>
        </w:rPr>
        <w:t xml:space="preserve"> </w:t>
      </w:r>
      <w:r w:rsidRPr="00A8316E">
        <w:rPr>
          <w:rFonts w:asciiTheme="majorHAnsi" w:hAnsiTheme="majorHAnsi" w:cstheme="majorHAnsi"/>
        </w:rPr>
        <w:t>the largest manufacturer of medical cannabis products in Israel, issued today a preliminary revenue outlook for the second quarter of 2020. The compan</w:t>
      </w:r>
      <w:r w:rsidR="00554E36">
        <w:rPr>
          <w:rFonts w:asciiTheme="majorHAnsi" w:hAnsiTheme="majorHAnsi" w:cstheme="majorHAnsi"/>
        </w:rPr>
        <w:t>y estimates its consolidated (non-reviewed</w:t>
      </w:r>
      <w:r w:rsidRPr="00A8316E">
        <w:rPr>
          <w:rFonts w:asciiTheme="majorHAnsi" w:hAnsiTheme="majorHAnsi" w:cstheme="majorHAnsi"/>
        </w:rPr>
        <w:t>) revenues in the second quarter of 2020 will be at least 14 million.</w:t>
      </w:r>
    </w:p>
    <w:p w14:paraId="41882CAD" w14:textId="6F692DD0" w:rsidR="00A8316E" w:rsidRPr="00A8316E" w:rsidRDefault="00A8316E" w:rsidP="005B1391">
      <w:pPr>
        <w:pStyle w:val="1"/>
        <w:numPr>
          <w:ilvl w:val="0"/>
          <w:numId w:val="0"/>
        </w:numPr>
        <w:bidi w:val="0"/>
        <w:spacing w:line="240" w:lineRule="auto"/>
        <w:ind w:right="0"/>
        <w:rPr>
          <w:rFonts w:asciiTheme="majorHAnsi" w:hAnsiTheme="majorHAnsi" w:cstheme="majorHAnsi"/>
        </w:rPr>
      </w:pPr>
      <w:r w:rsidRPr="00A8316E">
        <w:rPr>
          <w:rFonts w:asciiTheme="majorHAnsi" w:hAnsiTheme="majorHAnsi" w:cstheme="majorHAnsi"/>
        </w:rPr>
        <w:t xml:space="preserve">The projected revenues for the second quarter reflect the continued growth of the company’s operations with </w:t>
      </w:r>
      <w:r w:rsidR="002D561C">
        <w:rPr>
          <w:rFonts w:asciiTheme="majorHAnsi" w:hAnsiTheme="majorHAnsi" w:cstheme="majorHAnsi"/>
        </w:rPr>
        <w:t>a 350%-increase</w:t>
      </w:r>
      <w:r w:rsidR="00E35B32">
        <w:rPr>
          <w:rFonts w:asciiTheme="majorHAnsi" w:hAnsiTheme="majorHAnsi" w:cstheme="majorHAnsi"/>
        </w:rPr>
        <w:t xml:space="preserve"> of</w:t>
      </w:r>
      <w:r w:rsidRPr="00A8316E">
        <w:rPr>
          <w:rFonts w:asciiTheme="majorHAnsi" w:hAnsiTheme="majorHAnsi" w:cstheme="majorHAnsi"/>
        </w:rPr>
        <w:t xml:space="preserve"> revenues in the second quart</w:t>
      </w:r>
      <w:r w:rsidR="005B1391">
        <w:rPr>
          <w:rFonts w:asciiTheme="majorHAnsi" w:hAnsiTheme="majorHAnsi" w:cstheme="majorHAnsi"/>
        </w:rPr>
        <w:t>er of 2019, whi</w:t>
      </w:r>
      <w:r w:rsidR="002D561C">
        <w:rPr>
          <w:rFonts w:asciiTheme="majorHAnsi" w:hAnsiTheme="majorHAnsi" w:cstheme="majorHAnsi"/>
        </w:rPr>
        <w:t xml:space="preserve">ch totaled 3.1 million. </w:t>
      </w:r>
      <w:r w:rsidR="005B1391">
        <w:rPr>
          <w:rFonts w:asciiTheme="majorHAnsi" w:hAnsiTheme="majorHAnsi" w:cstheme="majorHAnsi"/>
        </w:rPr>
        <w:t>C</w:t>
      </w:r>
      <w:r w:rsidR="002D561C">
        <w:rPr>
          <w:rFonts w:asciiTheme="majorHAnsi" w:hAnsiTheme="majorHAnsi" w:cstheme="majorHAnsi"/>
        </w:rPr>
        <w:t>ompared with the revenues of Q1</w:t>
      </w:r>
      <w:r w:rsidR="00E35B32">
        <w:rPr>
          <w:rFonts w:asciiTheme="majorHAnsi" w:hAnsiTheme="majorHAnsi" w:cstheme="majorHAnsi"/>
        </w:rPr>
        <w:t xml:space="preserve"> 2020 </w:t>
      </w:r>
      <w:r w:rsidR="002D561C">
        <w:rPr>
          <w:rFonts w:asciiTheme="majorHAnsi" w:hAnsiTheme="majorHAnsi" w:cstheme="majorHAnsi"/>
        </w:rPr>
        <w:t>of 12.2 million, the projected revenues</w:t>
      </w:r>
      <w:r w:rsidR="005B1391">
        <w:rPr>
          <w:rFonts w:asciiTheme="majorHAnsi" w:hAnsiTheme="majorHAnsi" w:cstheme="majorHAnsi"/>
        </w:rPr>
        <w:t xml:space="preserve"> for Q2</w:t>
      </w:r>
      <w:r w:rsidR="00E35B32">
        <w:rPr>
          <w:rFonts w:asciiTheme="majorHAnsi" w:hAnsiTheme="majorHAnsi" w:cstheme="majorHAnsi"/>
        </w:rPr>
        <w:t xml:space="preserve"> 2020 </w:t>
      </w:r>
      <w:r w:rsidR="005B1391">
        <w:rPr>
          <w:rFonts w:asciiTheme="majorHAnsi" w:hAnsiTheme="majorHAnsi" w:cstheme="majorHAnsi"/>
        </w:rPr>
        <w:t>reflect an increase of over 15%.</w:t>
      </w:r>
    </w:p>
    <w:p w14:paraId="48E86E05" w14:textId="38A7C482" w:rsidR="00A8316E" w:rsidRPr="00A8316E" w:rsidRDefault="00A8316E" w:rsidP="00A8316E">
      <w:pPr>
        <w:pStyle w:val="1"/>
        <w:numPr>
          <w:ilvl w:val="0"/>
          <w:numId w:val="0"/>
        </w:numPr>
        <w:bidi w:val="0"/>
        <w:spacing w:line="240" w:lineRule="auto"/>
        <w:ind w:right="0"/>
        <w:rPr>
          <w:rFonts w:asciiTheme="majorHAnsi" w:hAnsiTheme="majorHAnsi" w:cstheme="majorHAnsi"/>
        </w:rPr>
      </w:pPr>
      <w:r w:rsidRPr="00A8316E">
        <w:rPr>
          <w:rFonts w:asciiTheme="majorHAnsi" w:hAnsiTheme="majorHAnsi" w:cstheme="majorHAnsi"/>
        </w:rPr>
        <w:t xml:space="preserve">Based on these projections, the company’s revenues in the first half of 2020 are expected to total at least 26.2 million, an increase of 357% compared </w:t>
      </w:r>
      <w:r>
        <w:rPr>
          <w:rFonts w:asciiTheme="majorHAnsi" w:hAnsiTheme="majorHAnsi" w:cstheme="majorHAnsi"/>
        </w:rPr>
        <w:t>with the revenues in the first h</w:t>
      </w:r>
      <w:r w:rsidRPr="00A8316E">
        <w:rPr>
          <w:rFonts w:asciiTheme="majorHAnsi" w:hAnsiTheme="majorHAnsi" w:cstheme="majorHAnsi"/>
        </w:rPr>
        <w:t>alf of 2019, which totaled 5.7 million.</w:t>
      </w:r>
    </w:p>
    <w:p w14:paraId="01FA5504" w14:textId="172A7151" w:rsidR="00A8316E" w:rsidRDefault="00A8316E" w:rsidP="00A8316E">
      <w:pPr>
        <w:pStyle w:val="1"/>
        <w:numPr>
          <w:ilvl w:val="0"/>
          <w:numId w:val="0"/>
        </w:numPr>
        <w:bidi w:val="0"/>
        <w:spacing w:line="240" w:lineRule="auto"/>
        <w:ind w:right="0"/>
        <w:rPr>
          <w:rFonts w:asciiTheme="majorHAnsi" w:hAnsiTheme="majorHAnsi" w:cstheme="majorHAnsi"/>
        </w:rPr>
      </w:pPr>
      <w:r w:rsidRPr="00A8316E">
        <w:rPr>
          <w:rFonts w:asciiTheme="majorHAnsi" w:hAnsiTheme="majorHAnsi" w:cstheme="majorHAnsi"/>
          <w:b/>
          <w:bCs/>
        </w:rPr>
        <w:t xml:space="preserve">Dr. Dadi Segal, CEO of </w:t>
      </w:r>
      <w:r w:rsidR="00543A69">
        <w:rPr>
          <w:rFonts w:ascii="Calibri Light" w:hAnsi="Calibri Light" w:cs="Calibri Light"/>
          <w:b/>
          <w:bCs/>
        </w:rPr>
        <w:t>Panaxia Global</w:t>
      </w:r>
      <w:r w:rsidRPr="00543A69">
        <w:rPr>
          <w:rFonts w:asciiTheme="majorHAnsi" w:hAnsiTheme="majorHAnsi" w:cstheme="majorHAnsi"/>
        </w:rPr>
        <w:t xml:space="preserve">, </w:t>
      </w:r>
      <w:r w:rsidRPr="00A8316E">
        <w:rPr>
          <w:rFonts w:asciiTheme="majorHAnsi" w:hAnsiTheme="majorHAnsi" w:cstheme="majorHAnsi"/>
        </w:rPr>
        <w:t>s</w:t>
      </w:r>
      <w:r w:rsidRPr="00543A69">
        <w:rPr>
          <w:rFonts w:asciiTheme="majorHAnsi" w:hAnsiTheme="majorHAnsi" w:cstheme="majorHAnsi"/>
        </w:rPr>
        <w:t>a</w:t>
      </w:r>
      <w:r w:rsidRPr="00A8316E">
        <w:rPr>
          <w:rFonts w:asciiTheme="majorHAnsi" w:hAnsiTheme="majorHAnsi" w:cstheme="majorHAnsi"/>
        </w:rPr>
        <w:t xml:space="preserve">id, “We are happy to end another quarter of record </w:t>
      </w:r>
      <w:r w:rsidR="00E35B32" w:rsidRPr="00A8316E">
        <w:rPr>
          <w:rFonts w:asciiTheme="majorHAnsi" w:hAnsiTheme="majorHAnsi" w:cstheme="majorHAnsi"/>
        </w:rPr>
        <w:t>revenue</w:t>
      </w:r>
      <w:r w:rsidRPr="00A8316E">
        <w:rPr>
          <w:rFonts w:asciiTheme="majorHAnsi" w:hAnsiTheme="majorHAnsi" w:cstheme="majorHAnsi"/>
        </w:rPr>
        <w:t xml:space="preserve">, which complete 11 consecutive quarters of increased revenues. The consistent growth reflects the expansion of our operations in the Israeli market, as well as a strong vote of confidence on behalf of our patients. Concurrently, we prepare to start selling in Europe in the second half of 2020 as the first Israel medical cannabis company that is certified with EU-GMP standard for production and export of both raw materials and finished products. The EU-GMP, strategic marketing and distribution agreements entered in Europe, progress </w:t>
      </w:r>
      <w:r>
        <w:rPr>
          <w:rFonts w:asciiTheme="majorHAnsi" w:hAnsiTheme="majorHAnsi" w:cstheme="majorHAnsi"/>
        </w:rPr>
        <w:t xml:space="preserve">made </w:t>
      </w:r>
      <w:r w:rsidRPr="00A8316E">
        <w:rPr>
          <w:rFonts w:asciiTheme="majorHAnsi" w:hAnsiTheme="majorHAnsi" w:cstheme="majorHAnsi"/>
        </w:rPr>
        <w:t xml:space="preserve">towards completion of the production facility in Malta, and the </w:t>
      </w:r>
      <w:r>
        <w:rPr>
          <w:rFonts w:asciiTheme="majorHAnsi" w:hAnsiTheme="majorHAnsi" w:cstheme="majorHAnsi"/>
        </w:rPr>
        <w:t>expected</w:t>
      </w:r>
      <w:r w:rsidRPr="00A8316E">
        <w:rPr>
          <w:rFonts w:asciiTheme="majorHAnsi" w:hAnsiTheme="majorHAnsi" w:cstheme="majorHAnsi"/>
        </w:rPr>
        <w:t xml:space="preserve"> receipt of regulatory </w:t>
      </w:r>
      <w:r>
        <w:rPr>
          <w:rFonts w:asciiTheme="majorHAnsi" w:hAnsiTheme="majorHAnsi" w:cstheme="majorHAnsi"/>
        </w:rPr>
        <w:t xml:space="preserve">marketing </w:t>
      </w:r>
      <w:r w:rsidRPr="00A8316E">
        <w:rPr>
          <w:rFonts w:asciiTheme="majorHAnsi" w:hAnsiTheme="majorHAnsi" w:cstheme="majorHAnsi"/>
        </w:rPr>
        <w:t>approvals in Germany</w:t>
      </w:r>
      <w:r>
        <w:rPr>
          <w:rFonts w:asciiTheme="majorHAnsi" w:hAnsiTheme="majorHAnsi" w:cstheme="majorHAnsi"/>
        </w:rPr>
        <w:t>,</w:t>
      </w:r>
      <w:r w:rsidRPr="00A8316E">
        <w:rPr>
          <w:rFonts w:asciiTheme="majorHAnsi" w:hAnsiTheme="majorHAnsi" w:cstheme="majorHAnsi"/>
        </w:rPr>
        <w:t xml:space="preserve"> position Panaxia as the company that opened the door to Europe for the Israeli cannabis industry.</w:t>
      </w:r>
    </w:p>
    <w:p w14:paraId="56D6E9BF" w14:textId="0A47DD1D" w:rsidR="005C6D60" w:rsidRPr="00A8316E" w:rsidRDefault="00A8316E" w:rsidP="00A8316E">
      <w:pPr>
        <w:pStyle w:val="1"/>
        <w:numPr>
          <w:ilvl w:val="0"/>
          <w:numId w:val="0"/>
        </w:numPr>
        <w:bidi w:val="0"/>
        <w:spacing w:line="240" w:lineRule="auto"/>
        <w:ind w:right="0"/>
        <w:rPr>
          <w:rFonts w:asciiTheme="majorHAnsi" w:hAnsiTheme="majorHAnsi" w:cstheme="majorHAnsi"/>
          <w:rtl/>
        </w:rPr>
      </w:pPr>
      <w:r w:rsidRPr="00A8316E">
        <w:rPr>
          <w:rFonts w:asciiTheme="majorHAnsi" w:hAnsiTheme="majorHAnsi" w:cstheme="majorHAnsi"/>
        </w:rPr>
        <w:t>We look forward to achiev</w:t>
      </w:r>
      <w:r>
        <w:rPr>
          <w:rFonts w:asciiTheme="majorHAnsi" w:hAnsiTheme="majorHAnsi" w:cstheme="majorHAnsi"/>
        </w:rPr>
        <w:t>ing</w:t>
      </w:r>
      <w:r w:rsidRPr="00A8316E">
        <w:rPr>
          <w:rFonts w:asciiTheme="majorHAnsi" w:hAnsiTheme="majorHAnsi" w:cstheme="majorHAnsi"/>
        </w:rPr>
        <w:t xml:space="preserve"> this important goal concurrently with continued growth in Israel.”</w:t>
      </w:r>
    </w:p>
    <w:p w14:paraId="0DD220A0" w14:textId="77777777" w:rsidR="005C6D60" w:rsidRPr="00A8316E" w:rsidRDefault="005C6D60" w:rsidP="00A8316E">
      <w:pPr>
        <w:bidi/>
        <w:jc w:val="both"/>
        <w:rPr>
          <w:rFonts w:asciiTheme="majorHAnsi" w:hAnsiTheme="majorHAnsi" w:cstheme="majorHAnsi"/>
          <w:b/>
          <w:bCs/>
          <w:sz w:val="24"/>
          <w:szCs w:val="24"/>
          <w:u w:val="single"/>
          <w:rtl/>
        </w:rPr>
      </w:pPr>
    </w:p>
    <w:p w14:paraId="0ABDD20D" w14:textId="77777777" w:rsidR="00A8316E" w:rsidRDefault="00A8316E">
      <w:pPr>
        <w:widowControl/>
        <w:autoSpaceDE/>
        <w:autoSpaceDN/>
        <w:adjustRightInd/>
        <w:spacing w:after="160" w:line="259" w:lineRule="auto"/>
        <w:rPr>
          <w:rFonts w:asciiTheme="majorHAnsi" w:hAnsiTheme="majorHAnsi" w:cstheme="majorHAnsi"/>
          <w:b/>
          <w:bCs/>
          <w:sz w:val="24"/>
          <w:szCs w:val="24"/>
          <w:u w:val="single"/>
        </w:rPr>
      </w:pPr>
      <w:r>
        <w:rPr>
          <w:rFonts w:asciiTheme="majorHAnsi" w:hAnsiTheme="majorHAnsi" w:cstheme="majorHAnsi"/>
          <w:b/>
          <w:bCs/>
          <w:sz w:val="24"/>
          <w:szCs w:val="24"/>
          <w:u w:val="single"/>
        </w:rPr>
        <w:br w:type="page"/>
      </w:r>
    </w:p>
    <w:p w14:paraId="4948E5B5" w14:textId="5249EBD8" w:rsidR="005C6D60" w:rsidRPr="00A8316E" w:rsidRDefault="00A8316E" w:rsidP="00A8316E">
      <w:pPr>
        <w:jc w:val="both"/>
        <w:rPr>
          <w:rFonts w:asciiTheme="majorHAnsi" w:hAnsiTheme="majorHAnsi" w:cstheme="majorHAnsi"/>
          <w:b/>
          <w:bCs/>
          <w:sz w:val="24"/>
          <w:szCs w:val="24"/>
          <w:u w:val="single"/>
          <w:rtl/>
        </w:rPr>
      </w:pPr>
      <w:r w:rsidRPr="00A8316E">
        <w:rPr>
          <w:rFonts w:asciiTheme="majorHAnsi" w:hAnsiTheme="majorHAnsi" w:cstheme="majorHAnsi"/>
          <w:b/>
          <w:bCs/>
          <w:sz w:val="24"/>
          <w:szCs w:val="24"/>
          <w:u w:val="single"/>
        </w:rPr>
        <w:lastRenderedPageBreak/>
        <w:t>Panaxia Israel: quarterly and annual revenues, in millions</w:t>
      </w:r>
      <w:r w:rsidR="005C6D60" w:rsidRPr="00A8316E">
        <w:rPr>
          <w:rFonts w:asciiTheme="majorHAnsi" w:hAnsiTheme="majorHAnsi" w:cstheme="majorHAnsi"/>
          <w:b/>
          <w:bCs/>
          <w:sz w:val="24"/>
          <w:szCs w:val="24"/>
          <w:u w:val="single"/>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4633"/>
      </w:tblGrid>
      <w:tr w:rsidR="005C6D60" w:rsidRPr="00A8316E" w14:paraId="7C77706E" w14:textId="77777777" w:rsidTr="007F4A6F">
        <w:tc>
          <w:tcPr>
            <w:tcW w:w="4722" w:type="dxa"/>
          </w:tcPr>
          <w:p w14:paraId="0CA120DB" w14:textId="78E998E1" w:rsidR="005C6D60" w:rsidRPr="00A8316E" w:rsidRDefault="00A8316E" w:rsidP="00A8316E">
            <w:pPr>
              <w:pStyle w:val="1"/>
              <w:numPr>
                <w:ilvl w:val="0"/>
                <w:numId w:val="0"/>
              </w:numPr>
              <w:bidi w:val="0"/>
              <w:spacing w:after="120" w:line="240" w:lineRule="auto"/>
              <w:ind w:right="284"/>
              <w:jc w:val="center"/>
              <w:rPr>
                <w:rFonts w:asciiTheme="majorHAnsi" w:hAnsiTheme="majorHAnsi" w:cstheme="majorHAnsi"/>
                <w:b/>
                <w:bCs/>
                <w:u w:val="single"/>
                <w:rtl/>
              </w:rPr>
            </w:pPr>
            <w:bookmarkStart w:id="0" w:name="_Hlk45118892"/>
            <w:r w:rsidRPr="00A8316E">
              <w:rPr>
                <w:rFonts w:asciiTheme="majorHAnsi" w:hAnsiTheme="majorHAnsi" w:cstheme="majorHAnsi"/>
                <w:b/>
                <w:bCs/>
                <w:u w:val="single"/>
                <w:lang w:bidi="he-IL"/>
              </w:rPr>
              <w:t>Quarterly revenues, 2017-2020, in millions</w:t>
            </w:r>
            <w:bookmarkEnd w:id="0"/>
          </w:p>
        </w:tc>
        <w:tc>
          <w:tcPr>
            <w:tcW w:w="4633" w:type="dxa"/>
          </w:tcPr>
          <w:p w14:paraId="1C762BB5" w14:textId="349AE0A8" w:rsidR="005C6D60" w:rsidRPr="00A8316E" w:rsidRDefault="00A8316E" w:rsidP="00A8316E">
            <w:pPr>
              <w:pStyle w:val="1"/>
              <w:numPr>
                <w:ilvl w:val="0"/>
                <w:numId w:val="0"/>
              </w:numPr>
              <w:bidi w:val="0"/>
              <w:spacing w:after="120" w:line="240" w:lineRule="auto"/>
              <w:ind w:right="284"/>
              <w:jc w:val="center"/>
              <w:rPr>
                <w:rFonts w:asciiTheme="majorHAnsi" w:hAnsiTheme="majorHAnsi" w:cstheme="majorHAnsi"/>
                <w:b/>
                <w:bCs/>
                <w:u w:val="single"/>
                <w:rtl/>
              </w:rPr>
            </w:pPr>
            <w:r w:rsidRPr="00A8316E">
              <w:rPr>
                <w:rFonts w:asciiTheme="majorHAnsi" w:hAnsiTheme="majorHAnsi" w:cstheme="majorHAnsi"/>
                <w:b/>
                <w:bCs/>
                <w:u w:val="single"/>
                <w:lang w:bidi="he-IL"/>
              </w:rPr>
              <w:t>Cumulative revenues, 2017-2020, in millions</w:t>
            </w:r>
          </w:p>
        </w:tc>
      </w:tr>
      <w:tr w:rsidR="005C6D60" w:rsidRPr="00A8316E" w14:paraId="313FC9A1" w14:textId="77777777" w:rsidTr="007F4A6F">
        <w:tc>
          <w:tcPr>
            <w:tcW w:w="4722" w:type="dxa"/>
          </w:tcPr>
          <w:p w14:paraId="0D211636" w14:textId="77777777" w:rsidR="005C6D60" w:rsidRPr="00A8316E" w:rsidRDefault="005C6D60" w:rsidP="00A8316E">
            <w:pPr>
              <w:pStyle w:val="1"/>
              <w:numPr>
                <w:ilvl w:val="0"/>
                <w:numId w:val="0"/>
              </w:numPr>
              <w:spacing w:after="120" w:line="240" w:lineRule="auto"/>
              <w:ind w:right="284"/>
              <w:rPr>
                <w:rFonts w:asciiTheme="majorHAnsi" w:hAnsiTheme="majorHAnsi" w:cstheme="majorHAnsi"/>
                <w:b/>
                <w:bCs/>
                <w:u w:val="single"/>
                <w:rtl/>
              </w:rPr>
            </w:pPr>
          </w:p>
        </w:tc>
        <w:tc>
          <w:tcPr>
            <w:tcW w:w="4633" w:type="dxa"/>
          </w:tcPr>
          <w:p w14:paraId="495DDEF9" w14:textId="77777777" w:rsidR="005C6D60" w:rsidRPr="00A8316E" w:rsidRDefault="005C6D60" w:rsidP="00A8316E">
            <w:pPr>
              <w:pStyle w:val="1"/>
              <w:numPr>
                <w:ilvl w:val="0"/>
                <w:numId w:val="0"/>
              </w:numPr>
              <w:spacing w:after="120" w:line="240" w:lineRule="auto"/>
              <w:ind w:right="284"/>
              <w:jc w:val="center"/>
              <w:rPr>
                <w:rFonts w:asciiTheme="majorHAnsi" w:hAnsiTheme="majorHAnsi" w:cstheme="majorHAnsi"/>
                <w:b/>
                <w:bCs/>
                <w:u w:val="single"/>
                <w:rtl/>
              </w:rPr>
            </w:pPr>
            <w:r w:rsidRPr="00A8316E">
              <w:rPr>
                <w:rFonts w:asciiTheme="majorHAnsi" w:hAnsiTheme="majorHAnsi" w:cstheme="majorHAnsi"/>
                <w:noProof/>
              </w:rPr>
              <w:t xml:space="preserve"> </w:t>
            </w:r>
          </w:p>
        </w:tc>
      </w:tr>
    </w:tbl>
    <w:p w14:paraId="7726F0CA" w14:textId="77777777" w:rsidR="005C6D60" w:rsidRPr="00A8316E" w:rsidRDefault="005C6D60" w:rsidP="00A8316E">
      <w:pPr>
        <w:bidi/>
        <w:spacing w:before="240"/>
        <w:ind w:left="-14" w:firstLine="14"/>
        <w:jc w:val="both"/>
        <w:rPr>
          <w:rFonts w:asciiTheme="majorHAnsi" w:hAnsiTheme="majorHAnsi" w:cstheme="majorHAnsi"/>
          <w:sz w:val="24"/>
          <w:szCs w:val="24"/>
          <w:rtl/>
          <w:lang w:eastAsia="he-IL"/>
        </w:rPr>
      </w:pPr>
      <w:r w:rsidRPr="00A8316E">
        <w:rPr>
          <w:rFonts w:asciiTheme="majorHAnsi" w:hAnsiTheme="majorHAnsi" w:cstheme="majorHAnsi"/>
          <w:noProof/>
          <w:sz w:val="24"/>
          <w:szCs w:val="24"/>
        </w:rPr>
        <w:drawing>
          <wp:anchor distT="0" distB="0" distL="114300" distR="114300" simplePos="0" relativeHeight="251659264" behindDoc="0" locked="0" layoutInCell="1" allowOverlap="1" wp14:anchorId="759EE53E" wp14:editId="6BCD62B3">
            <wp:simplePos x="0" y="0"/>
            <wp:positionH relativeFrom="margin">
              <wp:align>right</wp:align>
            </wp:positionH>
            <wp:positionV relativeFrom="paragraph">
              <wp:posOffset>46185</wp:posOffset>
            </wp:positionV>
            <wp:extent cx="2620010" cy="1768475"/>
            <wp:effectExtent l="0" t="0" r="8890" b="3175"/>
            <wp:wrapThrough wrapText="bothSides">
              <wp:wrapPolygon edited="0">
                <wp:start x="0" y="0"/>
                <wp:lineTo x="0" y="21406"/>
                <wp:lineTo x="21516" y="21406"/>
                <wp:lineTo x="215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0010" cy="1768475"/>
                    </a:xfrm>
                    <a:prstGeom prst="rect">
                      <a:avLst/>
                    </a:prstGeom>
                    <a:noFill/>
                  </pic:spPr>
                </pic:pic>
              </a:graphicData>
            </a:graphic>
            <wp14:sizeRelH relativeFrom="page">
              <wp14:pctWidth>0</wp14:pctWidth>
            </wp14:sizeRelH>
            <wp14:sizeRelV relativeFrom="page">
              <wp14:pctHeight>0</wp14:pctHeight>
            </wp14:sizeRelV>
          </wp:anchor>
        </w:drawing>
      </w:r>
      <w:r w:rsidRPr="00A8316E">
        <w:rPr>
          <w:rFonts w:asciiTheme="majorHAnsi" w:hAnsiTheme="majorHAnsi" w:cstheme="majorHAnsi"/>
          <w:b/>
          <w:bCs/>
          <w:noProof/>
          <w:u w:val="single"/>
          <w:rtl/>
        </w:rPr>
        <w:drawing>
          <wp:anchor distT="0" distB="0" distL="114300" distR="114300" simplePos="0" relativeHeight="251660288" behindDoc="0" locked="0" layoutInCell="1" allowOverlap="1" wp14:anchorId="41504B83" wp14:editId="406DBC61">
            <wp:simplePos x="0" y="0"/>
            <wp:positionH relativeFrom="column">
              <wp:posOffset>81915</wp:posOffset>
            </wp:positionH>
            <wp:positionV relativeFrom="paragraph">
              <wp:posOffset>8890</wp:posOffset>
            </wp:positionV>
            <wp:extent cx="2743200" cy="1784985"/>
            <wp:effectExtent l="0" t="0" r="0" b="5715"/>
            <wp:wrapThrough wrapText="bothSides">
              <wp:wrapPolygon edited="0">
                <wp:start x="0" y="0"/>
                <wp:lineTo x="0" y="21439"/>
                <wp:lineTo x="21450" y="21439"/>
                <wp:lineTo x="2145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1784985"/>
                    </a:xfrm>
                    <a:prstGeom prst="rect">
                      <a:avLst/>
                    </a:prstGeom>
                    <a:noFill/>
                  </pic:spPr>
                </pic:pic>
              </a:graphicData>
            </a:graphic>
            <wp14:sizeRelH relativeFrom="page">
              <wp14:pctWidth>0</wp14:pctWidth>
            </wp14:sizeRelH>
            <wp14:sizeRelV relativeFrom="page">
              <wp14:pctHeight>0</wp14:pctHeight>
            </wp14:sizeRelV>
          </wp:anchor>
        </w:drawing>
      </w:r>
    </w:p>
    <w:p w14:paraId="2BF06447" w14:textId="77777777" w:rsidR="005C6D60" w:rsidRPr="00A8316E" w:rsidRDefault="005C6D60" w:rsidP="00A8316E">
      <w:pPr>
        <w:pStyle w:val="1"/>
        <w:numPr>
          <w:ilvl w:val="0"/>
          <w:numId w:val="0"/>
        </w:numPr>
        <w:spacing w:line="240" w:lineRule="auto"/>
        <w:ind w:right="284"/>
        <w:rPr>
          <w:rFonts w:asciiTheme="majorHAnsi" w:hAnsiTheme="majorHAnsi" w:cstheme="majorHAnsi"/>
          <w:rtl/>
          <w:lang w:eastAsia="he-IL"/>
        </w:rPr>
      </w:pPr>
    </w:p>
    <w:p w14:paraId="4043CB0A" w14:textId="77777777" w:rsidR="005C6D60" w:rsidRPr="00A8316E" w:rsidRDefault="005C6D60" w:rsidP="00A8316E">
      <w:pPr>
        <w:pStyle w:val="1"/>
        <w:numPr>
          <w:ilvl w:val="0"/>
          <w:numId w:val="0"/>
        </w:numPr>
        <w:spacing w:line="240" w:lineRule="auto"/>
        <w:ind w:right="284"/>
        <w:rPr>
          <w:rFonts w:asciiTheme="majorHAnsi" w:hAnsiTheme="majorHAnsi" w:cstheme="majorHAnsi"/>
          <w:rtl/>
          <w:lang w:eastAsia="he-IL"/>
        </w:rPr>
      </w:pPr>
    </w:p>
    <w:p w14:paraId="03D110E8" w14:textId="77777777" w:rsidR="005C6D60" w:rsidRPr="00A8316E" w:rsidRDefault="005C6D60" w:rsidP="00A8316E">
      <w:pPr>
        <w:pStyle w:val="1"/>
        <w:numPr>
          <w:ilvl w:val="0"/>
          <w:numId w:val="0"/>
        </w:numPr>
        <w:spacing w:line="240" w:lineRule="auto"/>
        <w:ind w:right="284"/>
        <w:rPr>
          <w:rFonts w:asciiTheme="majorHAnsi" w:hAnsiTheme="majorHAnsi" w:cstheme="majorHAnsi"/>
          <w:rtl/>
          <w:lang w:eastAsia="he-IL"/>
        </w:rPr>
      </w:pPr>
    </w:p>
    <w:p w14:paraId="068258B2" w14:textId="77777777" w:rsidR="005C6D60" w:rsidRPr="00A8316E" w:rsidRDefault="005C6D60" w:rsidP="00A8316E">
      <w:pPr>
        <w:pStyle w:val="1"/>
        <w:numPr>
          <w:ilvl w:val="0"/>
          <w:numId w:val="0"/>
        </w:numPr>
        <w:spacing w:line="240" w:lineRule="auto"/>
        <w:ind w:right="284"/>
        <w:rPr>
          <w:rFonts w:asciiTheme="majorHAnsi" w:hAnsiTheme="majorHAnsi" w:cstheme="majorHAnsi"/>
          <w:rtl/>
          <w:lang w:eastAsia="he-IL"/>
        </w:rPr>
      </w:pPr>
    </w:p>
    <w:p w14:paraId="519151EC" w14:textId="77777777" w:rsidR="005C6D60" w:rsidRPr="00A8316E" w:rsidRDefault="005C6D60" w:rsidP="00A8316E">
      <w:pPr>
        <w:pStyle w:val="1"/>
        <w:numPr>
          <w:ilvl w:val="0"/>
          <w:numId w:val="0"/>
        </w:numPr>
        <w:spacing w:line="240" w:lineRule="auto"/>
        <w:ind w:right="284"/>
        <w:rPr>
          <w:rFonts w:asciiTheme="majorHAnsi" w:hAnsiTheme="majorHAnsi" w:cstheme="majorHAnsi"/>
          <w:rtl/>
          <w:lang w:eastAsia="he-IL"/>
        </w:rPr>
      </w:pPr>
    </w:p>
    <w:p w14:paraId="4F00997C" w14:textId="77777777" w:rsidR="005C6D60" w:rsidRPr="00A8316E" w:rsidRDefault="005C6D60" w:rsidP="00A8316E">
      <w:pPr>
        <w:pStyle w:val="1"/>
        <w:numPr>
          <w:ilvl w:val="0"/>
          <w:numId w:val="0"/>
        </w:numPr>
        <w:spacing w:line="240" w:lineRule="auto"/>
        <w:ind w:right="284"/>
        <w:rPr>
          <w:rFonts w:asciiTheme="majorHAnsi" w:hAnsiTheme="majorHAnsi" w:cstheme="majorHAnsi"/>
          <w:rtl/>
          <w:lang w:eastAsia="he-IL"/>
        </w:rPr>
      </w:pPr>
    </w:p>
    <w:p w14:paraId="4D814C2B" w14:textId="2F31A7CE" w:rsidR="00A8316E" w:rsidRPr="00A8316E" w:rsidRDefault="00A8316E" w:rsidP="00A8316E">
      <w:pPr>
        <w:pStyle w:val="1"/>
        <w:numPr>
          <w:ilvl w:val="0"/>
          <w:numId w:val="0"/>
        </w:numPr>
        <w:bidi w:val="0"/>
        <w:spacing w:line="240" w:lineRule="auto"/>
        <w:ind w:right="284"/>
        <w:rPr>
          <w:rFonts w:asciiTheme="majorHAnsi" w:hAnsiTheme="majorHAnsi" w:cstheme="majorHAnsi"/>
          <w:lang w:eastAsia="he-IL"/>
        </w:rPr>
      </w:pPr>
      <w:r w:rsidRPr="00A8316E">
        <w:rPr>
          <w:rFonts w:asciiTheme="majorHAnsi" w:hAnsiTheme="majorHAnsi" w:cstheme="majorHAnsi"/>
          <w:lang w:eastAsia="he-IL"/>
        </w:rPr>
        <w:t>The revenue figures for the second quarter of 2020 are based on the management’s estimates at this stage and have not been audited or reviewed.</w:t>
      </w:r>
    </w:p>
    <w:p w14:paraId="465AB8A0" w14:textId="77777777" w:rsidR="00A8316E" w:rsidRPr="00A8316E" w:rsidRDefault="00A8316E" w:rsidP="00A8316E">
      <w:pPr>
        <w:spacing w:before="100" w:beforeAutospacing="1" w:after="100" w:afterAutospacing="1"/>
        <w:jc w:val="both"/>
        <w:rPr>
          <w:rFonts w:asciiTheme="majorHAnsi" w:hAnsiTheme="majorHAnsi" w:cstheme="majorHAnsi"/>
          <w:b/>
          <w:bCs/>
          <w:sz w:val="24"/>
          <w:szCs w:val="24"/>
        </w:rPr>
      </w:pPr>
      <w:r w:rsidRPr="00A8316E">
        <w:rPr>
          <w:rFonts w:asciiTheme="majorHAnsi" w:hAnsiTheme="majorHAnsi" w:cstheme="majorHAnsi"/>
          <w:b/>
          <w:bCs/>
          <w:sz w:val="24"/>
          <w:szCs w:val="24"/>
        </w:rPr>
        <w:t>About Panaxia Israel </w:t>
      </w:r>
    </w:p>
    <w:p w14:paraId="21699B55" w14:textId="4A5CB49C" w:rsidR="00A8316E" w:rsidRPr="00A8316E" w:rsidRDefault="00A8316E" w:rsidP="00A8316E">
      <w:pPr>
        <w:spacing w:before="100" w:beforeAutospacing="1" w:after="100" w:afterAutospacing="1"/>
        <w:jc w:val="both"/>
        <w:rPr>
          <w:rFonts w:asciiTheme="majorHAnsi" w:hAnsiTheme="majorHAnsi" w:cstheme="majorHAnsi"/>
          <w:b/>
          <w:bCs/>
          <w:sz w:val="24"/>
          <w:szCs w:val="24"/>
        </w:rPr>
      </w:pPr>
      <w:r w:rsidRPr="00A8316E">
        <w:rPr>
          <w:rFonts w:asciiTheme="majorHAnsi" w:hAnsiTheme="majorHAnsi" w:cstheme="majorHAnsi"/>
          <w:sz w:val="24"/>
          <w:szCs w:val="24"/>
        </w:rPr>
        <w:t xml:space="preserve">Panaxia Labs Israel, Ltd. is a </w:t>
      </w:r>
      <w:proofErr w:type="gramStart"/>
      <w:r w:rsidRPr="00A8316E">
        <w:rPr>
          <w:rFonts w:asciiTheme="majorHAnsi" w:hAnsiTheme="majorHAnsi" w:cstheme="majorHAnsi"/>
          <w:sz w:val="24"/>
          <w:szCs w:val="24"/>
        </w:rPr>
        <w:t>publicly</w:t>
      </w:r>
      <w:r>
        <w:rPr>
          <w:rFonts w:asciiTheme="majorHAnsi" w:hAnsiTheme="majorHAnsi" w:cstheme="majorHAnsi"/>
          <w:sz w:val="24"/>
          <w:szCs w:val="24"/>
        </w:rPr>
        <w:t>-</w:t>
      </w:r>
      <w:r w:rsidRPr="00A8316E">
        <w:rPr>
          <w:rFonts w:asciiTheme="majorHAnsi" w:hAnsiTheme="majorHAnsi" w:cstheme="majorHAnsi"/>
          <w:sz w:val="24"/>
          <w:szCs w:val="24"/>
        </w:rPr>
        <w:t>traded</w:t>
      </w:r>
      <w:proofErr w:type="gramEnd"/>
      <w:r w:rsidRPr="00A8316E">
        <w:rPr>
          <w:rFonts w:asciiTheme="majorHAnsi" w:hAnsiTheme="majorHAnsi" w:cstheme="majorHAnsi"/>
          <w:sz w:val="24"/>
          <w:szCs w:val="24"/>
        </w:rPr>
        <w:t xml:space="preserve"> company at TASE (PNAX). It is the largest Israeli manufacturer and home-delivery distributor of medical cannabis products, and the first to have received the approval of the Israeli Ministry of Health for the manufacturing of medicinal cannabis-based pharmaceuticals (under the IMC-GMP directive) as well as EU-GMP standard certification required for commercial production and export of medical cannabis and its products to Europe. The company manufactures over 30 hemp-based medicinal products and has accumulated a broad foundation of clinical experience based on tens of thousands of patients. </w:t>
      </w:r>
    </w:p>
    <w:p w14:paraId="6B78D11C" w14:textId="556C4B10" w:rsidR="00A8316E" w:rsidRPr="00A8316E" w:rsidRDefault="00A8316E" w:rsidP="00C14211">
      <w:pPr>
        <w:spacing w:before="100" w:beforeAutospacing="1" w:after="100" w:afterAutospacing="1"/>
        <w:jc w:val="both"/>
        <w:rPr>
          <w:rFonts w:asciiTheme="majorHAnsi" w:hAnsiTheme="majorHAnsi" w:cstheme="majorHAnsi"/>
          <w:sz w:val="24"/>
          <w:szCs w:val="24"/>
        </w:rPr>
      </w:pPr>
      <w:r w:rsidRPr="00A8316E">
        <w:rPr>
          <w:rFonts w:asciiTheme="majorHAnsi" w:hAnsiTheme="majorHAnsi" w:cstheme="majorHAnsi"/>
          <w:sz w:val="24"/>
          <w:szCs w:val="24"/>
        </w:rPr>
        <w:t>Panaxia is a subsid</w:t>
      </w:r>
      <w:r>
        <w:rPr>
          <w:rFonts w:asciiTheme="majorHAnsi" w:hAnsiTheme="majorHAnsi" w:cstheme="majorHAnsi"/>
          <w:sz w:val="24"/>
          <w:szCs w:val="24"/>
        </w:rPr>
        <w:t>i</w:t>
      </w:r>
      <w:r w:rsidRPr="00A8316E">
        <w:rPr>
          <w:rFonts w:asciiTheme="majorHAnsi" w:hAnsiTheme="majorHAnsi" w:cstheme="majorHAnsi"/>
          <w:sz w:val="24"/>
          <w:szCs w:val="24"/>
        </w:rPr>
        <w:t xml:space="preserve">ary of the Segal Pharma Group, owned by the Segal family and founded over forty years ago. The company manufactures over 600 different pharmaceutical products that are distributed in over 40 countries worldwide. Panaxia Labs Israel is a subsidiary of Panaxia Pharmaceutical Industries, co-founded by Dr. Dadi Segal, Dr. Eran Goldberg, and </w:t>
      </w:r>
      <w:r>
        <w:rPr>
          <w:rFonts w:asciiTheme="majorHAnsi" w:hAnsiTheme="majorHAnsi" w:cstheme="majorHAnsi"/>
          <w:sz w:val="24"/>
          <w:szCs w:val="24"/>
        </w:rPr>
        <w:t xml:space="preserve">Adv. Assi Rotbart </w:t>
      </w:r>
      <w:r w:rsidRPr="00A8316E">
        <w:rPr>
          <w:rFonts w:asciiTheme="majorHAnsi" w:hAnsiTheme="majorHAnsi" w:cstheme="majorHAnsi"/>
          <w:sz w:val="24"/>
          <w:szCs w:val="24"/>
        </w:rPr>
        <w:t xml:space="preserve">as the cannabis division of the Segal Pharma Group. A sister subsidiary, Panaxia US, manufactures in North America over 60 hemp-based medicinal products, including sublingual tablets, lozenges, oils, and inhalators </w:t>
      </w:r>
      <w:r w:rsidR="00C14211" w:rsidRPr="00543A69">
        <w:rPr>
          <w:rFonts w:asciiTheme="majorHAnsi" w:hAnsiTheme="majorHAnsi" w:cstheme="majorHAnsi"/>
          <w:sz w:val="24"/>
          <w:szCs w:val="24"/>
        </w:rPr>
        <w:t xml:space="preserve">designed </w:t>
      </w:r>
      <w:r w:rsidRPr="00543A69">
        <w:rPr>
          <w:rFonts w:asciiTheme="majorHAnsi" w:hAnsiTheme="majorHAnsi" w:cstheme="majorHAnsi"/>
          <w:sz w:val="24"/>
          <w:szCs w:val="24"/>
        </w:rPr>
        <w:t>for treat</w:t>
      </w:r>
      <w:r w:rsidR="00C14211" w:rsidRPr="00543A69">
        <w:rPr>
          <w:rFonts w:asciiTheme="majorHAnsi" w:hAnsiTheme="majorHAnsi" w:cstheme="majorHAnsi"/>
          <w:sz w:val="24"/>
          <w:szCs w:val="24"/>
        </w:rPr>
        <w:t>ing</w:t>
      </w:r>
      <w:r w:rsidRPr="00543A69">
        <w:rPr>
          <w:rFonts w:asciiTheme="majorHAnsi" w:hAnsiTheme="majorHAnsi" w:cstheme="majorHAnsi"/>
          <w:sz w:val="24"/>
          <w:szCs w:val="24"/>
        </w:rPr>
        <w:t xml:space="preserve"> co</w:t>
      </w:r>
      <w:r w:rsidRPr="00A8316E">
        <w:rPr>
          <w:rFonts w:asciiTheme="majorHAnsi" w:hAnsiTheme="majorHAnsi" w:cstheme="majorHAnsi"/>
          <w:sz w:val="24"/>
          <w:szCs w:val="24"/>
        </w:rPr>
        <w:t>nditions such as PTSD, cancer, chronic pain, epilepsy, anorexia, burns, and many other ailments. Panaxia Group has over 150 employees</w:t>
      </w:r>
      <w:r>
        <w:rPr>
          <w:rFonts w:asciiTheme="majorHAnsi" w:hAnsiTheme="majorHAnsi" w:cstheme="majorHAnsi"/>
          <w:sz w:val="24"/>
          <w:szCs w:val="24"/>
        </w:rPr>
        <w:t xml:space="preserve">, </w:t>
      </w:r>
      <w:r w:rsidRPr="00543A69">
        <w:rPr>
          <w:rFonts w:asciiTheme="majorHAnsi" w:hAnsiTheme="majorHAnsi" w:cstheme="majorHAnsi"/>
          <w:sz w:val="24"/>
          <w:szCs w:val="24"/>
        </w:rPr>
        <w:t xml:space="preserve">who also conduct </w:t>
      </w:r>
      <w:proofErr w:type="gramStart"/>
      <w:r w:rsidRPr="00543A69">
        <w:rPr>
          <w:rFonts w:asciiTheme="majorHAnsi" w:hAnsiTheme="majorHAnsi" w:cstheme="majorHAnsi"/>
          <w:sz w:val="24"/>
          <w:szCs w:val="24"/>
        </w:rPr>
        <w:t>all of</w:t>
      </w:r>
      <w:proofErr w:type="gramEnd"/>
      <w:r w:rsidRPr="00543A69">
        <w:rPr>
          <w:rFonts w:asciiTheme="majorHAnsi" w:hAnsiTheme="majorHAnsi" w:cstheme="majorHAnsi"/>
          <w:sz w:val="24"/>
          <w:szCs w:val="24"/>
        </w:rPr>
        <w:t xml:space="preserve"> its clinical trials.</w:t>
      </w:r>
    </w:p>
    <w:p w14:paraId="14FB1915" w14:textId="4B04FB65" w:rsidR="00A8316E" w:rsidRPr="00A8316E" w:rsidRDefault="00A8316E" w:rsidP="00A8316E">
      <w:pPr>
        <w:spacing w:before="100" w:beforeAutospacing="1" w:after="100" w:afterAutospacing="1"/>
        <w:jc w:val="both"/>
        <w:rPr>
          <w:rFonts w:asciiTheme="majorHAnsi" w:hAnsiTheme="majorHAnsi" w:cstheme="majorHAnsi"/>
          <w:sz w:val="24"/>
          <w:szCs w:val="24"/>
          <w:rtl/>
        </w:rPr>
      </w:pPr>
      <w:r w:rsidRPr="00A8316E">
        <w:rPr>
          <w:rFonts w:asciiTheme="majorHAnsi" w:hAnsiTheme="majorHAnsi" w:cstheme="majorHAnsi"/>
          <w:sz w:val="24"/>
          <w:szCs w:val="24"/>
        </w:rPr>
        <w:t xml:space="preserve">The Segal Pharma Group additionally owns </w:t>
      </w:r>
      <w:proofErr w:type="spellStart"/>
      <w:r w:rsidRPr="00A8316E">
        <w:rPr>
          <w:rFonts w:asciiTheme="majorHAnsi" w:hAnsiTheme="majorHAnsi" w:cstheme="majorHAnsi"/>
          <w:sz w:val="24"/>
          <w:szCs w:val="24"/>
        </w:rPr>
        <w:t>Luminera</w:t>
      </w:r>
      <w:proofErr w:type="spellEnd"/>
      <w:r w:rsidRPr="00A8316E">
        <w:rPr>
          <w:rFonts w:asciiTheme="majorHAnsi" w:hAnsiTheme="majorHAnsi" w:cstheme="majorHAnsi"/>
          <w:sz w:val="24"/>
          <w:szCs w:val="24"/>
        </w:rPr>
        <w:t xml:space="preserve"> </w:t>
      </w:r>
      <w:proofErr w:type="spellStart"/>
      <w:r w:rsidRPr="00A8316E">
        <w:rPr>
          <w:rFonts w:asciiTheme="majorHAnsi" w:hAnsiTheme="majorHAnsi" w:cstheme="majorHAnsi"/>
          <w:sz w:val="24"/>
          <w:szCs w:val="24"/>
        </w:rPr>
        <w:t>Derm</w:t>
      </w:r>
      <w:proofErr w:type="spellEnd"/>
      <w:r w:rsidRPr="00A8316E">
        <w:rPr>
          <w:rFonts w:asciiTheme="majorHAnsi" w:hAnsiTheme="majorHAnsi" w:cstheme="majorHAnsi"/>
          <w:sz w:val="24"/>
          <w:szCs w:val="24"/>
        </w:rPr>
        <w:t xml:space="preserve">, manufacturer of injectable dermal fillers, and Tree of Life Pharma, manufacturer of over-the-counter drugs. For more information, visit the Panaxia website at </w:t>
      </w:r>
      <w:hyperlink r:id="rId9" w:history="1">
        <w:r w:rsidRPr="00A8316E">
          <w:rPr>
            <w:rFonts w:asciiTheme="majorHAnsi" w:hAnsiTheme="majorHAnsi" w:cstheme="majorHAnsi"/>
            <w:sz w:val="24"/>
            <w:szCs w:val="24"/>
          </w:rPr>
          <w:t>https://panaxia.co.il/</w:t>
        </w:r>
      </w:hyperlink>
    </w:p>
    <w:p w14:paraId="1828F07F" w14:textId="2789B298" w:rsidR="005C6D60" w:rsidRPr="003722D2" w:rsidRDefault="003722D2" w:rsidP="003722D2">
      <w:pPr>
        <w:pStyle w:val="NormalWeb"/>
        <w:shd w:val="clear" w:color="auto" w:fill="FFFFFF"/>
        <w:spacing w:before="0" w:beforeAutospacing="0" w:after="525" w:afterAutospacing="0"/>
        <w:rPr>
          <w:rFonts w:hint="cs"/>
          <w:rtl/>
        </w:rPr>
      </w:pPr>
      <w:r>
        <w:rPr>
          <w:rFonts w:ascii="Helvetica" w:hAnsi="Helvetica" w:cs="Helvetica"/>
          <w:b/>
          <w:bCs/>
          <w:color w:val="373737"/>
          <w:u w:val="single"/>
        </w:rPr>
        <w:t>For more information</w:t>
      </w:r>
      <w:r>
        <w:rPr>
          <w:rFonts w:ascii="Helvetica" w:hAnsi="Helvetica" w:cs="Helvetica"/>
          <w:color w:val="373737"/>
        </w:rPr>
        <w:t>:</w:t>
      </w:r>
      <w:r>
        <w:br/>
      </w:r>
      <w:r w:rsidRPr="003722D2">
        <w:rPr>
          <w:rFonts w:asciiTheme="majorHAnsi" w:hAnsiTheme="majorHAnsi" w:cstheme="majorHAnsi"/>
        </w:rPr>
        <w:t>Noa Leviel </w:t>
      </w:r>
      <w:r w:rsidRPr="003722D2">
        <w:rPr>
          <w:rFonts w:asciiTheme="majorHAnsi" w:hAnsiTheme="majorHAnsi" w:cstheme="majorHAnsi"/>
        </w:rPr>
        <w:br/>
      </w:r>
      <w:hyperlink r:id="rId10" w:tgtFrame="_blank" w:history="1">
        <w:r w:rsidRPr="003722D2">
          <w:rPr>
            <w:rFonts w:asciiTheme="majorHAnsi" w:hAnsiTheme="majorHAnsi" w:cstheme="majorHAnsi"/>
          </w:rPr>
          <w:t>Lnoa@ibh.co.il</w:t>
        </w:r>
      </w:hyperlink>
      <w:r w:rsidRPr="003722D2">
        <w:rPr>
          <w:rFonts w:asciiTheme="majorHAnsi" w:hAnsiTheme="majorHAnsi" w:cstheme="majorHAnsi"/>
        </w:rPr>
        <w:br/>
        <w:t>972-50-869-18</w:t>
      </w:r>
    </w:p>
    <w:sectPr w:rsidR="005C6D60" w:rsidRPr="003722D2" w:rsidSect="006604CF">
      <w:headerReference w:type="first" r:id="rId11"/>
      <w:pgSz w:w="12240" w:h="15840"/>
      <w:pgMar w:top="1135" w:right="1467"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68F33" w14:textId="77777777" w:rsidR="00F119FA" w:rsidRDefault="00F119FA">
      <w:r>
        <w:separator/>
      </w:r>
    </w:p>
  </w:endnote>
  <w:endnote w:type="continuationSeparator" w:id="0">
    <w:p w14:paraId="1446C255" w14:textId="77777777" w:rsidR="00F119FA" w:rsidRDefault="00F1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82F2B" w14:textId="77777777" w:rsidR="00F119FA" w:rsidRDefault="00F119FA">
      <w:r>
        <w:separator/>
      </w:r>
    </w:p>
  </w:footnote>
  <w:footnote w:type="continuationSeparator" w:id="0">
    <w:p w14:paraId="2B1A5DF3" w14:textId="77777777" w:rsidR="00F119FA" w:rsidRDefault="00F11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09C45" w14:textId="77777777" w:rsidR="003855EC" w:rsidRDefault="00597F3C" w:rsidP="00A65B81">
    <w:pPr>
      <w:pStyle w:val="Header"/>
    </w:pPr>
    <w:r>
      <w:rPr>
        <w:noProof/>
        <w:lang w:bidi="he-IL"/>
      </w:rPr>
      <w:drawing>
        <wp:inline distT="0" distB="0" distL="0" distR="0" wp14:anchorId="1701207C" wp14:editId="214800E0">
          <wp:extent cx="1965325" cy="381372"/>
          <wp:effectExtent l="0" t="0" r="0" b="0"/>
          <wp:docPr id="2" name="Picture 2" descr="logo_f-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01"/>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b="27469"/>
                  <a:stretch/>
                </pic:blipFill>
                <pic:spPr bwMode="auto">
                  <a:xfrm>
                    <a:off x="0" y="0"/>
                    <a:ext cx="2016408" cy="391285"/>
                  </a:xfrm>
                  <a:prstGeom prst="rect">
                    <a:avLst/>
                  </a:prstGeom>
                  <a:noFill/>
                  <a:ln>
                    <a:noFill/>
                  </a:ln>
                  <a:extLst>
                    <a:ext uri="{53640926-AAD7-44D8-BBD7-CCE9431645EC}">
                      <a14:shadowObscured xmlns:a14="http://schemas.microsoft.com/office/drawing/2010/main"/>
                    </a:ext>
                  </a:extLst>
                </pic:spPr>
              </pic:pic>
            </a:graphicData>
          </a:graphic>
        </wp:inline>
      </w:drawing>
    </w:r>
  </w:p>
  <w:p w14:paraId="5FD7E466" w14:textId="77777777" w:rsidR="001957D4" w:rsidRDefault="002A58C2" w:rsidP="00A65B81">
    <w:pPr>
      <w:pStyle w:val="Header"/>
    </w:pPr>
  </w:p>
  <w:p w14:paraId="7861F504" w14:textId="77777777" w:rsidR="0053304D" w:rsidRDefault="002A58C2" w:rsidP="005E2B88">
    <w:pPr>
      <w:pStyle w:val="Header"/>
      <w:tabs>
        <w:tab w:val="clear" w:pos="4680"/>
        <w:tab w:val="clear" w:pos="9360"/>
        <w:tab w:val="left" w:pos="82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D5B15"/>
    <w:multiLevelType w:val="multilevel"/>
    <w:tmpl w:val="0CBE107C"/>
    <w:lvl w:ilvl="0">
      <w:start w:val="1"/>
      <w:numFmt w:val="decimal"/>
      <w:pStyle w:val="1"/>
      <w:lvlText w:val="%1."/>
      <w:lvlJc w:val="left"/>
      <w:pPr>
        <w:tabs>
          <w:tab w:val="num" w:pos="1559"/>
        </w:tabs>
        <w:ind w:left="1559" w:right="709" w:hanging="709"/>
      </w:pPr>
      <w:rPr>
        <w:b w:val="0"/>
        <w:bCs w:val="0"/>
        <w:sz w:val="24"/>
        <w:szCs w:val="24"/>
      </w:rPr>
    </w:lvl>
    <w:lvl w:ilvl="1">
      <w:start w:val="1"/>
      <w:numFmt w:val="hebrew1"/>
      <w:pStyle w:val="2"/>
      <w:lvlText w:val="%2."/>
      <w:lvlJc w:val="center"/>
      <w:pPr>
        <w:tabs>
          <w:tab w:val="num" w:pos="1418"/>
        </w:tabs>
        <w:ind w:left="1418" w:right="1418" w:hanging="709"/>
      </w:pPr>
    </w:lvl>
    <w:lvl w:ilvl="2">
      <w:start w:val="1"/>
      <w:numFmt w:val="decimal"/>
      <w:pStyle w:val="3"/>
      <w:lvlText w:val="%3)"/>
      <w:lvlJc w:val="left"/>
      <w:pPr>
        <w:tabs>
          <w:tab w:val="num" w:pos="2126"/>
        </w:tabs>
        <w:ind w:left="2126" w:right="2126" w:hanging="708"/>
      </w:pPr>
    </w:lvl>
    <w:lvl w:ilvl="3">
      <w:start w:val="1"/>
      <w:numFmt w:val="upperRoman"/>
      <w:pStyle w:val="4"/>
      <w:lvlText w:val="%4)"/>
      <w:lvlJc w:val="left"/>
      <w:pPr>
        <w:tabs>
          <w:tab w:val="num" w:pos="2835"/>
        </w:tabs>
        <w:ind w:left="2835" w:right="2835" w:hanging="709"/>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C1tDQBYiMTIwNjAyUdpeDU4uLM/DyQApNaABdTtqksAAAA"/>
  </w:docVars>
  <w:rsids>
    <w:rsidRoot w:val="002C2FD0"/>
    <w:rsid w:val="00067102"/>
    <w:rsid w:val="000F1777"/>
    <w:rsid w:val="000F3CE7"/>
    <w:rsid w:val="001522B7"/>
    <w:rsid w:val="002A58C2"/>
    <w:rsid w:val="002C2FD0"/>
    <w:rsid w:val="002D561C"/>
    <w:rsid w:val="003109FB"/>
    <w:rsid w:val="003722D2"/>
    <w:rsid w:val="003C3805"/>
    <w:rsid w:val="00543A69"/>
    <w:rsid w:val="00554E36"/>
    <w:rsid w:val="00597F3C"/>
    <w:rsid w:val="005B1391"/>
    <w:rsid w:val="005C1723"/>
    <w:rsid w:val="005C64FC"/>
    <w:rsid w:val="005C6D60"/>
    <w:rsid w:val="006743C5"/>
    <w:rsid w:val="00863F6F"/>
    <w:rsid w:val="00A8316E"/>
    <w:rsid w:val="00AB2142"/>
    <w:rsid w:val="00B33D75"/>
    <w:rsid w:val="00C14211"/>
    <w:rsid w:val="00D41753"/>
    <w:rsid w:val="00DC243A"/>
    <w:rsid w:val="00E35B32"/>
    <w:rsid w:val="00F115C9"/>
    <w:rsid w:val="00F119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A44E"/>
  <w15:chartTrackingRefBased/>
  <w15:docId w15:val="{D70075FE-EB2B-4174-A918-0EDA330C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D6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D60"/>
    <w:pPr>
      <w:widowControl/>
      <w:tabs>
        <w:tab w:val="center" w:pos="4680"/>
        <w:tab w:val="right" w:pos="9360"/>
      </w:tabs>
      <w:autoSpaceDE/>
      <w:autoSpaceDN/>
      <w:adjustRightInd/>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rsid w:val="005C6D60"/>
    <w:rPr>
      <w:lang w:bidi="ar-SA"/>
    </w:rPr>
  </w:style>
  <w:style w:type="character" w:styleId="Hyperlink">
    <w:name w:val="Hyperlink"/>
    <w:basedOn w:val="DefaultParagraphFont"/>
    <w:uiPriority w:val="99"/>
    <w:unhideWhenUsed/>
    <w:rsid w:val="005C6D60"/>
    <w:rPr>
      <w:color w:val="0563C1" w:themeColor="hyperlink"/>
      <w:u w:val="single"/>
    </w:rPr>
  </w:style>
  <w:style w:type="paragraph" w:customStyle="1" w:styleId="1">
    <w:name w:val="היסט1"/>
    <w:basedOn w:val="Normal"/>
    <w:rsid w:val="005C6D60"/>
    <w:pPr>
      <w:widowControl/>
      <w:numPr>
        <w:numId w:val="1"/>
      </w:numPr>
      <w:autoSpaceDE/>
      <w:autoSpaceDN/>
      <w:bidi/>
      <w:adjustRightInd/>
      <w:spacing w:before="120" w:line="360" w:lineRule="auto"/>
      <w:jc w:val="both"/>
    </w:pPr>
    <w:rPr>
      <w:rFonts w:ascii="Arial" w:hAnsi="Arial" w:cs="David"/>
      <w:sz w:val="24"/>
      <w:szCs w:val="24"/>
      <w:lang w:eastAsia="zh-CN"/>
    </w:rPr>
  </w:style>
  <w:style w:type="paragraph" w:customStyle="1" w:styleId="2">
    <w:name w:val="היסט2"/>
    <w:basedOn w:val="Normal"/>
    <w:rsid w:val="005C6D60"/>
    <w:pPr>
      <w:widowControl/>
      <w:numPr>
        <w:ilvl w:val="1"/>
        <w:numId w:val="1"/>
      </w:numPr>
      <w:autoSpaceDE/>
      <w:autoSpaceDN/>
      <w:bidi/>
      <w:adjustRightInd/>
      <w:spacing w:before="120" w:line="360" w:lineRule="auto"/>
      <w:jc w:val="both"/>
    </w:pPr>
    <w:rPr>
      <w:rFonts w:ascii="Arial" w:hAnsi="Arial" w:cs="David"/>
      <w:sz w:val="24"/>
      <w:szCs w:val="24"/>
      <w:lang w:eastAsia="zh-CN"/>
    </w:rPr>
  </w:style>
  <w:style w:type="paragraph" w:customStyle="1" w:styleId="3">
    <w:name w:val="היסט3"/>
    <w:basedOn w:val="Normal"/>
    <w:rsid w:val="005C6D60"/>
    <w:pPr>
      <w:widowControl/>
      <w:numPr>
        <w:ilvl w:val="2"/>
        <w:numId w:val="1"/>
      </w:numPr>
      <w:autoSpaceDE/>
      <w:autoSpaceDN/>
      <w:bidi/>
      <w:adjustRightInd/>
      <w:spacing w:before="120" w:line="360" w:lineRule="auto"/>
      <w:jc w:val="both"/>
    </w:pPr>
    <w:rPr>
      <w:rFonts w:ascii="Arial" w:hAnsi="Arial" w:cs="David"/>
      <w:sz w:val="24"/>
      <w:szCs w:val="24"/>
      <w:lang w:eastAsia="zh-CN"/>
    </w:rPr>
  </w:style>
  <w:style w:type="paragraph" w:customStyle="1" w:styleId="4">
    <w:name w:val="היסט4"/>
    <w:basedOn w:val="Normal"/>
    <w:rsid w:val="005C6D60"/>
    <w:pPr>
      <w:widowControl/>
      <w:numPr>
        <w:ilvl w:val="3"/>
        <w:numId w:val="1"/>
      </w:numPr>
      <w:autoSpaceDE/>
      <w:autoSpaceDN/>
      <w:bidi/>
      <w:adjustRightInd/>
      <w:spacing w:before="120" w:line="360" w:lineRule="auto"/>
      <w:jc w:val="both"/>
    </w:pPr>
    <w:rPr>
      <w:rFonts w:ascii="Arial" w:hAnsi="Arial" w:cs="David"/>
      <w:sz w:val="24"/>
      <w:szCs w:val="24"/>
      <w:lang w:eastAsia="zh-CN"/>
    </w:rPr>
  </w:style>
  <w:style w:type="table" w:styleId="TableGrid">
    <w:name w:val="Table Grid"/>
    <w:basedOn w:val="TableNormal"/>
    <w:uiPriority w:val="59"/>
    <w:rsid w:val="005C6D60"/>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22D2"/>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3722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2D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noa@ibh.co.il" TargetMode="External"/><Relationship Id="rId4" Type="http://schemas.openxmlformats.org/officeDocument/2006/relationships/webSettings" Target="webSettings.xml"/><Relationship Id="rId9" Type="http://schemas.openxmlformats.org/officeDocument/2006/relationships/hyperlink" Target="https://panaxia.co.i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59D32.6A9569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3790</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 Paris Abutbul</dc:creator>
  <cp:keywords/>
  <dc:description/>
  <cp:lastModifiedBy>Yelena Paris Abutbul</cp:lastModifiedBy>
  <cp:revision>2</cp:revision>
  <dcterms:created xsi:type="dcterms:W3CDTF">2020-07-09T06:24:00Z</dcterms:created>
  <dcterms:modified xsi:type="dcterms:W3CDTF">2020-07-09T06:24:00Z</dcterms:modified>
</cp:coreProperties>
</file>